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0D4" w:rsidRDefault="00CF20D4" w:rsidP="00CF20D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Description:</w:t>
      </w:r>
    </w:p>
    <w:p w:rsidR="00CF20D4" w:rsidRDefault="00CF20D4" w:rsidP="00CF20D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Type: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BROEN BALLOMAX</w:t>
      </w:r>
    </w:p>
    <w:p w:rsidR="00CF20D4" w:rsidRDefault="00CF20D4" w:rsidP="00CF20D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Art. No.: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55.100</w:t>
      </w:r>
    </w:p>
    <w:p w:rsidR="00CF20D4" w:rsidRDefault="00CF20D4" w:rsidP="00CF20D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Pressure: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PN 40</w:t>
      </w:r>
    </w:p>
    <w:p w:rsidR="00CF20D4" w:rsidRPr="0036723C" w:rsidRDefault="00CF20D4" w:rsidP="00CF20D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Dimension: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DN10 to DN50</w:t>
      </w:r>
    </w:p>
    <w:p w:rsidR="00CF20D4" w:rsidRDefault="00CF20D4" w:rsidP="00CF20D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CF20D4" w:rsidRDefault="00CF20D4" w:rsidP="00CF20D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CF20D4" w:rsidRDefault="00CF20D4" w:rsidP="00CF20D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Configuration:</w:t>
      </w:r>
    </w:p>
    <w:p w:rsidR="00CF20D4" w:rsidRPr="00A26EB4" w:rsidRDefault="00CF20D4" w:rsidP="00CF20D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>Fully welded ball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valve with reduced bore and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female/female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 connection. </w:t>
      </w:r>
      <w:r w:rsidRPr="00CA0444">
        <w:rPr>
          <w:rFonts w:ascii="Myriad Pro" w:hAnsi="Myriad Pro" w:cs="Arial"/>
          <w:color w:val="000000"/>
          <w:sz w:val="22"/>
          <w:szCs w:val="22"/>
          <w:lang w:val="en-US"/>
        </w:rPr>
        <w:t>Especially designed for use in central heating, heating, cooling and industrial plants.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Stem and stop made in stainless steel with double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 xml:space="preserve">sealings in stuffing box with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Graphite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rings.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The valves are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manufactured according to ISO9001:2008 and ISO14001.</w:t>
      </w:r>
    </w:p>
    <w:p w:rsidR="00CF20D4" w:rsidRPr="0036723C" w:rsidRDefault="00CF20D4" w:rsidP="00CF20D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CF20D4" w:rsidRDefault="00CF20D4" w:rsidP="00CF20D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CF20D4" w:rsidRDefault="00CF20D4" w:rsidP="00CF20D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Technical data:</w:t>
      </w:r>
    </w:p>
    <w:p w:rsidR="00CF20D4" w:rsidRDefault="00CF20D4" w:rsidP="00CF20D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Connection: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Female/female</w:t>
      </w:r>
    </w:p>
    <w:p w:rsidR="00CF20D4" w:rsidRDefault="00CF20D4" w:rsidP="00CF20D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Temperature: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Continuously 250 °C</w:t>
      </w:r>
    </w:p>
    <w:p w:rsidR="00CF20D4" w:rsidRDefault="00CF20D4" w:rsidP="00CF20D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Media: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Treated water to avoid corrosion/lime formation, suitable for steam</w:t>
      </w:r>
    </w:p>
    <w:p w:rsidR="00CF20D4" w:rsidRDefault="00CF20D4" w:rsidP="00CF20D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House: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Steel P235GH (St. 37)</w:t>
      </w:r>
    </w:p>
    <w:p w:rsidR="00CF20D4" w:rsidRDefault="00CF20D4" w:rsidP="00CF20D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Rings: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Graphite (</w:t>
      </w:r>
      <w:proofErr w:type="spellStart"/>
      <w:r>
        <w:rPr>
          <w:rFonts w:ascii="Myriad Pro" w:hAnsi="Myriad Pro" w:cs="Arial"/>
          <w:color w:val="000000"/>
          <w:sz w:val="22"/>
          <w:szCs w:val="22"/>
          <w:lang w:val="en-US"/>
        </w:rPr>
        <w:t>Grafmet</w:t>
      </w:r>
      <w:proofErr w:type="spellEnd"/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950)</w:t>
      </w:r>
    </w:p>
    <w:p w:rsidR="00CF20D4" w:rsidRDefault="00CF20D4" w:rsidP="00CF20D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Ball: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Stainless Steel AISI 304L</w:t>
      </w:r>
    </w:p>
    <w:p w:rsidR="00CF20D4" w:rsidRDefault="00CF20D4" w:rsidP="00CF20D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Seat packing: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Reinforced PTFE 20%C</w:t>
      </w:r>
    </w:p>
    <w:p w:rsidR="00CF20D4" w:rsidRDefault="00CF20D4" w:rsidP="00CF20D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Operation: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Handle</w:t>
      </w:r>
    </w:p>
    <w:p w:rsidR="00CF20D4" w:rsidRDefault="00CF20D4" w:rsidP="00CF20D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Surface: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Environmentally corrosion resistant paint</w:t>
      </w:r>
    </w:p>
    <w:p w:rsidR="00CF20D4" w:rsidRPr="0036723C" w:rsidRDefault="00CF20D4" w:rsidP="00CF20D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CF20D4" w:rsidRDefault="00CF20D4" w:rsidP="00CF20D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CF20D4" w:rsidRDefault="00CF20D4" w:rsidP="00CF20D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Labeling:</w:t>
      </w:r>
    </w:p>
    <w:p w:rsidR="00CF20D4" w:rsidRDefault="00CF20D4" w:rsidP="00CF20D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Maker, Dimension, Pressure step, Temperature range, Production month and year.</w:t>
      </w:r>
    </w:p>
    <w:p w:rsidR="00CF20D4" w:rsidRPr="0036723C" w:rsidRDefault="00CF20D4" w:rsidP="00CF20D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CF20D4" w:rsidRDefault="00CF20D4" w:rsidP="00CF20D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CF20D4" w:rsidRPr="0036723C" w:rsidRDefault="00CF20D4" w:rsidP="00CF20D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CF20D4" w:rsidRPr="00CF20D4" w:rsidRDefault="00CF20D4" w:rsidP="00CF20D4">
      <w:pPr>
        <w:rPr>
          <w:lang w:val="en-US"/>
        </w:rPr>
      </w:pPr>
    </w:p>
    <w:p w:rsidR="008447E1" w:rsidRPr="00CF20D4" w:rsidRDefault="008447E1" w:rsidP="00CF20D4">
      <w:pPr>
        <w:rPr>
          <w:lang w:val="en-US"/>
        </w:rPr>
      </w:pPr>
      <w:bookmarkStart w:id="1" w:name="_GoBack"/>
      <w:bookmarkEnd w:id="1"/>
    </w:p>
    <w:sectPr w:rsidR="008447E1" w:rsidRPr="00CF20D4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0F15F9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0F15F9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0F15F9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0F15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7B576F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0F15F9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0F15F9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CA4536" w:rsidRPr="00297E69">
      <w:rPr>
        <w:rFonts w:ascii="Myriad Pro" w:hAnsi="Myriad Pro"/>
        <w:color w:val="808080"/>
        <w:sz w:val="16"/>
        <w:szCs w:val="16"/>
      </w:rPr>
      <w:t xml:space="preserve">Page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of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0F15F9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Tendertext</w:t>
                </w:r>
                <w:proofErr w:type="spellEnd"/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4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545F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103D65"/>
    <w:rsid w:val="001129CF"/>
    <w:rsid w:val="001138B1"/>
    <w:rsid w:val="0014364A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35ABA"/>
    <w:rsid w:val="005619C2"/>
    <w:rsid w:val="00566040"/>
    <w:rsid w:val="005745DD"/>
    <w:rsid w:val="005764CE"/>
    <w:rsid w:val="00583F6C"/>
    <w:rsid w:val="00584806"/>
    <w:rsid w:val="00585714"/>
    <w:rsid w:val="005A0FD8"/>
    <w:rsid w:val="005B047A"/>
    <w:rsid w:val="005B2B47"/>
    <w:rsid w:val="005B5ADF"/>
    <w:rsid w:val="005C0304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B576F"/>
    <w:rsid w:val="007C7418"/>
    <w:rsid w:val="007D5A40"/>
    <w:rsid w:val="007F203E"/>
    <w:rsid w:val="007F324A"/>
    <w:rsid w:val="007F6305"/>
    <w:rsid w:val="0081092E"/>
    <w:rsid w:val="00811319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94668"/>
    <w:rsid w:val="00996B36"/>
    <w:rsid w:val="009A0DA6"/>
    <w:rsid w:val="009B3C63"/>
    <w:rsid w:val="009C2EF7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D764D"/>
    <w:rsid w:val="00AE04F5"/>
    <w:rsid w:val="00AE1BCC"/>
    <w:rsid w:val="00AE65F1"/>
    <w:rsid w:val="00AE6E15"/>
    <w:rsid w:val="00B136C3"/>
    <w:rsid w:val="00B15850"/>
    <w:rsid w:val="00B21057"/>
    <w:rsid w:val="00B25801"/>
    <w:rsid w:val="00B469B2"/>
    <w:rsid w:val="00B51973"/>
    <w:rsid w:val="00B63221"/>
    <w:rsid w:val="00B84938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7924"/>
    <w:rsid w:val="00CA3C2F"/>
    <w:rsid w:val="00CA4536"/>
    <w:rsid w:val="00CA6645"/>
    <w:rsid w:val="00CB35EC"/>
    <w:rsid w:val="00CE7F45"/>
    <w:rsid w:val="00CF132F"/>
    <w:rsid w:val="00CF20D4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836B8"/>
    <w:rsid w:val="00D87BD7"/>
    <w:rsid w:val="00D9440D"/>
    <w:rsid w:val="00DA28A3"/>
    <w:rsid w:val="00DA6577"/>
    <w:rsid w:val="00DB0B65"/>
    <w:rsid w:val="00DB0C2B"/>
    <w:rsid w:val="00DC6DE9"/>
    <w:rsid w:val="00DE7AE1"/>
    <w:rsid w:val="00E11DC9"/>
    <w:rsid w:val="00E12FD9"/>
    <w:rsid w:val="00E257B6"/>
    <w:rsid w:val="00E36FD0"/>
    <w:rsid w:val="00E42BD2"/>
    <w:rsid w:val="00E56515"/>
    <w:rsid w:val="00E64D4E"/>
    <w:rsid w:val="00E85FB9"/>
    <w:rsid w:val="00E955A3"/>
    <w:rsid w:val="00EA6CB8"/>
    <w:rsid w:val="00EB498D"/>
    <w:rsid w:val="00EE2E96"/>
    <w:rsid w:val="00EF752E"/>
    <w:rsid w:val="00F05B94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34F3"/>
    <w:rsid w:val="00F86A73"/>
    <w:rsid w:val="00F86DB8"/>
    <w:rsid w:val="00F9013E"/>
    <w:rsid w:val="00F904B8"/>
    <w:rsid w:val="00F93F68"/>
    <w:rsid w:val="00F9491D"/>
    <w:rsid w:val="00FA1F8C"/>
    <w:rsid w:val="00FB4685"/>
    <w:rsid w:val="00FC4A4B"/>
    <w:rsid w:val="00FC4BDE"/>
    <w:rsid w:val="00FC6358"/>
    <w:rsid w:val="00FD613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4"/>
    <o:shapelayout v:ext="edit">
      <o:idmap v:ext="edit" data="1"/>
    </o:shapelayout>
  </w:shapeDefaults>
  <w:decimalSymbol w:val=","/>
  <w:listSeparator w:val=";"/>
  <w14:docId w14:val="652145FA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12090-652A-47EA-AC45-1D663349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2018-08-10T11:40:00Z</dcterms:created>
  <dcterms:modified xsi:type="dcterms:W3CDTF">2018-08-10T11:40:00Z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