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Description: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Type: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BROEN BALLOMAX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Art. No.: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61.103 &amp; 64.103 &amp; 40.316 &amp; 40.325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Pressure: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010 to DN 050 = PN 40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065 to DN 500 = PN 25 / 16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Dimension: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015 to DN 500</w:t>
      </w:r>
    </w:p>
    <w:p w:rsidR="008E7400" w:rsidRPr="0036723C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Configuration:</w:t>
      </w:r>
    </w:p>
    <w:p w:rsidR="008E7400" w:rsidRPr="00A26EB4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>Fully welded ball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valve with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reduced 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bore and 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>flange/flange</w:t>
      </w:r>
      <w:r w:rsidRPr="00A26EB4">
        <w:rPr>
          <w:rFonts w:ascii="Myriad Pro" w:hAnsi="Myriad Pro" w:cs="Arial"/>
          <w:color w:val="000000"/>
          <w:sz w:val="22"/>
          <w:szCs w:val="22"/>
          <w:lang w:val="en-US"/>
        </w:rPr>
        <w:t xml:space="preserve"> connection. </w:t>
      </w:r>
      <w:r w:rsidRPr="00CA0444">
        <w:rPr>
          <w:rFonts w:ascii="Myriad Pro" w:hAnsi="Myriad Pro" w:cs="Arial"/>
          <w:color w:val="000000"/>
          <w:sz w:val="22"/>
          <w:szCs w:val="22"/>
          <w:lang w:val="en-US"/>
        </w:rPr>
        <w:t>Especially designed for use in central heating, heating, cooling and industrial plants.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Stem and stop made in stainless steel with double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 xml:space="preserve">sealings in stuffing box with exchangeable </w:t>
      </w:r>
      <w:proofErr w:type="spellStart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o-rings</w:t>
      </w:r>
      <w:proofErr w:type="spellEnd"/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The valves are approved according to the directive for pressurized equipment PED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2014/68/EU</w:t>
      </w:r>
      <w:r w:rsidRPr="006D1E52">
        <w:rPr>
          <w:rFonts w:ascii="Myriad Pro" w:hAnsi="Myriad Pro" w:cs="Arial"/>
          <w:color w:val="000000"/>
          <w:sz w:val="22"/>
          <w:szCs w:val="22"/>
          <w:lang w:val="en-US"/>
        </w:rPr>
        <w:t>, Module H.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 xml:space="preserve"> and manufactured according to ISO9001:2008 and ISO14001.</w:t>
      </w:r>
    </w:p>
    <w:p w:rsidR="008E7400" w:rsidRPr="0036723C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Technical data: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Connection: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Flange/Flange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Temperature: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Continuous 140 °C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Media: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Treated water to avoid corrosion/lime formation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House: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Steel P235GH (St. 37)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O-rings: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EPDM and VITON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Ball: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Stainless Steel AISI 304L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Seat packing: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Reinforced PTFE 20%C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Operation: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010 to DN 100 = Handle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125 to DN 150 = Handle / ISO flange for gear/actuator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DN 200 to DN 500 = ISO flange for gear/actuator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Surface:</w:t>
      </w:r>
      <w:r>
        <w:rPr>
          <w:rFonts w:ascii="Myriad Pro" w:hAnsi="Myriad Pro" w:cs="Arial"/>
          <w:color w:val="000000"/>
          <w:sz w:val="22"/>
          <w:szCs w:val="22"/>
          <w:lang w:val="en-US"/>
        </w:rPr>
        <w:tab/>
        <w:t>Environmentally corrosion resistant paint</w:t>
      </w:r>
    </w:p>
    <w:p w:rsidR="008E7400" w:rsidRPr="0036723C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Labeling: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Maker, Dimension, Pressure step, Temperature range, Production month and year.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CE marked.</w:t>
      </w:r>
    </w:p>
    <w:p w:rsidR="008E7400" w:rsidRPr="0036723C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b/>
          <w:color w:val="000000"/>
          <w:sz w:val="22"/>
          <w:szCs w:val="22"/>
          <w:lang w:val="en-US"/>
        </w:rPr>
        <w:t>Accessories: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DN015 to DN100 = T-handle in Yellow, Red and/or Blue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DN125 to DN500 = ISO flange for gear/actuator</w:t>
      </w:r>
    </w:p>
    <w:p w:rsidR="008E7400" w:rsidRDefault="008E7400" w:rsidP="008E7400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  <w:lang w:val="en-US"/>
        </w:rPr>
      </w:pPr>
      <w:r>
        <w:rPr>
          <w:rFonts w:ascii="Myriad Pro" w:hAnsi="Myriad Pro" w:cs="Arial"/>
          <w:color w:val="000000"/>
          <w:sz w:val="22"/>
          <w:szCs w:val="22"/>
          <w:lang w:val="en-US"/>
        </w:rPr>
        <w:t>DN015 to DN025 = Insulations shells</w:t>
      </w:r>
    </w:p>
    <w:p w:rsidR="008E7400" w:rsidRPr="003D03A9" w:rsidRDefault="008E7400" w:rsidP="008E7400"/>
    <w:p w:rsidR="008447E1" w:rsidRPr="008E7400" w:rsidRDefault="008447E1" w:rsidP="008E7400">
      <w:bookmarkStart w:id="1" w:name="_GoBack"/>
      <w:bookmarkEnd w:id="1"/>
    </w:p>
    <w:sectPr w:rsidR="008447E1" w:rsidRPr="008E7400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0F15F9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0F15F9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0F15F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7B576F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0F15F9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0F15F9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CA4536" w:rsidRPr="00297E69">
      <w:rPr>
        <w:rFonts w:ascii="Myriad Pro" w:hAnsi="Myriad Pro"/>
        <w:color w:val="808080"/>
        <w:sz w:val="16"/>
        <w:szCs w:val="16"/>
      </w:rPr>
      <w:t xml:space="preserve">Page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of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0F15F9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proofErr w:type="spellStart"/>
                <w:r>
                  <w:rPr>
                    <w:rFonts w:ascii="Myriad Pro" w:hAnsi="Myriad Pro" w:cs="Arial"/>
                    <w:b/>
                    <w:color w:val="91989C"/>
                  </w:rPr>
                  <w:t>Tendertext</w:t>
                </w:r>
                <w:proofErr w:type="spellEnd"/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4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5ADF"/>
    <w:rsid w:val="005C0304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92E"/>
    <w:rsid w:val="00811319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94668"/>
    <w:rsid w:val="00996B36"/>
    <w:rsid w:val="009A0DA6"/>
    <w:rsid w:val="009B3C63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3C40"/>
    <w:rsid w:val="00A569C9"/>
    <w:rsid w:val="00A74551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4"/>
    <o:shapelayout v:ext="edit">
      <o:idmap v:ext="edit" data="1"/>
    </o:shapelayout>
  </w:shapeDefaults>
  <w:decimalSymbol w:val=","/>
  <w:listSeparator w:val=";"/>
  <w14:docId w14:val="652145FA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E87B0-EF92-41CE-9047-6C2B881D0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2</cp:revision>
  <cp:lastPrinted>2017-10-11T10:58:00Z</cp:lastPrinted>
  <dcterms:created xsi:type="dcterms:W3CDTF">2018-08-10T11:39:00Z</dcterms:created>
  <dcterms:modified xsi:type="dcterms:W3CDTF">2018-08-10T11:39:00Z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